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D875" w14:textId="77777777" w:rsidR="00C04D7F" w:rsidRPr="00C04D7F" w:rsidRDefault="00C04D7F" w:rsidP="00C04D7F">
      <w:pPr>
        <w:spacing w:after="0"/>
        <w:jc w:val="center"/>
        <w:rPr>
          <w:b/>
          <w:sz w:val="28"/>
          <w:szCs w:val="28"/>
        </w:rPr>
      </w:pPr>
      <w:r w:rsidRPr="00C04D7F">
        <w:rPr>
          <w:rFonts w:cs="Arial"/>
          <w:b/>
          <w:sz w:val="28"/>
          <w:szCs w:val="28"/>
          <w:rtl/>
        </w:rPr>
        <w:t>مركز الإرشاد والتوجيه</w:t>
      </w:r>
    </w:p>
    <w:p w14:paraId="3E2EDC5F" w14:textId="1937BF99" w:rsidR="008F3FDC" w:rsidRDefault="00C04D7F" w:rsidP="00C04D7F">
      <w:pPr>
        <w:spacing w:after="0"/>
        <w:jc w:val="center"/>
      </w:pPr>
      <w:r w:rsidRPr="00C04D7F">
        <w:rPr>
          <w:rFonts w:cs="Arial"/>
          <w:b/>
          <w:sz w:val="28"/>
          <w:szCs w:val="28"/>
          <w:rtl/>
        </w:rPr>
        <w:t>جدول الرسوم المتدرجة لعام 2026</w:t>
      </w:r>
    </w:p>
    <w:p w14:paraId="26C8FCCF" w14:textId="77777777" w:rsidR="008F3FDC" w:rsidRDefault="008F3FDC" w:rsidP="008F3FDC">
      <w:pPr>
        <w:spacing w:after="0"/>
        <w:jc w:val="center"/>
        <w:rPr>
          <w:rtl/>
        </w:rPr>
      </w:pPr>
    </w:p>
    <w:p w14:paraId="075484A4" w14:textId="77777777" w:rsidR="00C04D7F" w:rsidRDefault="00C04D7F" w:rsidP="008F3FDC">
      <w:pPr>
        <w:spacing w:after="0"/>
        <w:jc w:val="center"/>
      </w:pPr>
    </w:p>
    <w:p w14:paraId="532F3BA1" w14:textId="65321CC1" w:rsidR="00D677F7" w:rsidRDefault="00C04D7F" w:rsidP="00C04D7F">
      <w:pPr>
        <w:spacing w:after="0"/>
        <w:jc w:val="right"/>
        <w:rPr>
          <w:sz w:val="20"/>
          <w:szCs w:val="20"/>
          <w:lang w:bidi="ar-SY"/>
        </w:rPr>
      </w:pPr>
      <w:r w:rsidRPr="00C04D7F">
        <w:rPr>
          <w:rFonts w:cs="Arial"/>
          <w:sz w:val="20"/>
          <w:szCs w:val="20"/>
          <w:rtl/>
        </w:rPr>
        <w:t>تُحدد رسوم الزيارات اليومية وفقًا لجدول الرسوم المتدرجة بناءً على قدرتك على الدفع، كما هو موضح في الجدول أدناه. تستند حدود الدخل السنوية في الجدول إلى إرشادات مستوى الفقر الفيدرالي لعام 2026، ويتم تحديثها سنويًا. يتم تحديد رسوم زيارتك اليومية وفقًا لجدول الرسوم المتدرجة مرة واحدة على الأقل سنويًا، أو كلما تغير وضعك المالي. لن يُحرم أي شخص من الخدمة بسبب عدم قدرته على الدفع</w:t>
      </w:r>
      <w:r>
        <w:rPr>
          <w:rFonts w:cs="Arial" w:hint="cs"/>
          <w:sz w:val="20"/>
          <w:szCs w:val="20"/>
          <w:rtl/>
          <w:lang w:bidi="ar-SY"/>
        </w:rPr>
        <w:t>.</w:t>
      </w:r>
    </w:p>
    <w:p w14:paraId="16C44558" w14:textId="77777777" w:rsidR="00C04D7F" w:rsidRPr="008628AF" w:rsidRDefault="00C04D7F" w:rsidP="00C04D7F">
      <w:pPr>
        <w:spacing w:after="0"/>
        <w:jc w:val="right"/>
        <w:rPr>
          <w:sz w:val="20"/>
          <w:szCs w:val="20"/>
        </w:rPr>
      </w:pPr>
    </w:p>
    <w:p w14:paraId="5BB89185" w14:textId="5ED60592" w:rsidR="00C04D7F" w:rsidRPr="00C04D7F" w:rsidRDefault="00C04D7F" w:rsidP="00C04D7F">
      <w:pPr>
        <w:spacing w:after="0"/>
        <w:jc w:val="right"/>
        <w:rPr>
          <w:sz w:val="20"/>
          <w:szCs w:val="20"/>
          <w:u w:val="single"/>
        </w:rPr>
      </w:pPr>
      <w:r w:rsidRPr="00C04D7F">
        <w:rPr>
          <w:rFonts w:cs="Arial"/>
          <w:sz w:val="20"/>
          <w:szCs w:val="20"/>
          <w:u w:val="single"/>
          <w:rtl/>
        </w:rPr>
        <w:t>تعريف الدخل</w:t>
      </w:r>
      <w:r>
        <w:rPr>
          <w:rFonts w:cs="Arial" w:hint="cs"/>
          <w:sz w:val="20"/>
          <w:szCs w:val="20"/>
          <w:u w:val="single"/>
          <w:rtl/>
        </w:rPr>
        <w:t>:</w:t>
      </w:r>
    </w:p>
    <w:p w14:paraId="542E055D" w14:textId="77777777" w:rsidR="00C04D7F" w:rsidRDefault="00C04D7F" w:rsidP="00C04D7F">
      <w:pPr>
        <w:spacing w:after="0"/>
        <w:jc w:val="right"/>
        <w:rPr>
          <w:rFonts w:cs="Arial"/>
          <w:sz w:val="20"/>
          <w:szCs w:val="20"/>
          <w:rtl/>
        </w:rPr>
      </w:pPr>
      <w:r w:rsidRPr="00C04D7F">
        <w:rPr>
          <w:rFonts w:cs="Arial"/>
          <w:sz w:val="20"/>
          <w:szCs w:val="20"/>
          <w:rtl/>
        </w:rPr>
        <w:t>تشمل أمثلة الدخل الأجور، وتعويضات البطالة، وتعويضات إصابات العمل، والضمان الاجتماعي، ودخل الضمان التكميلي، والمساعدات العامة، ومدفوعات المحاربين القدامى، ومزايا الورثة، والمعاشات التقاعدية، ودخل التقاعد، والفوائد، والأرباح الموزعة، والإيجارات، والإتاوات، والدخل من التركات، والصناديق الاستئمانية، والمساعدات التعليمية، ونفقة الزوجة، ونفقة الأطفال، والمساعدات من خارج الأسرة، ومصادر أخرى متنوعة. لا يشمل الدخل مكاسب أو خسائر رأس المال، والمزايا غير النقدية (مثل قسائم الطعام، وإعانات السكن)، والائتمانات الضريبية</w:t>
      </w:r>
    </w:p>
    <w:p w14:paraId="28009F7A" w14:textId="77777777" w:rsidR="00C04D7F" w:rsidRDefault="00C04D7F" w:rsidP="00C04D7F">
      <w:pPr>
        <w:spacing w:after="0"/>
        <w:jc w:val="right"/>
        <w:rPr>
          <w:sz w:val="20"/>
          <w:szCs w:val="20"/>
          <w:u w:val="single"/>
          <w:rtl/>
        </w:rPr>
      </w:pPr>
    </w:p>
    <w:p w14:paraId="3B02CB6E" w14:textId="0FC1D070" w:rsidR="00C04D7F" w:rsidRDefault="00C04D7F" w:rsidP="00C04D7F">
      <w:pPr>
        <w:spacing w:after="0"/>
        <w:jc w:val="right"/>
        <w:rPr>
          <w:sz w:val="20"/>
          <w:szCs w:val="20"/>
          <w:u w:val="single"/>
          <w:rtl/>
        </w:rPr>
      </w:pPr>
      <w:r w:rsidRPr="00C04D7F">
        <w:rPr>
          <w:rFonts w:cs="Arial"/>
          <w:sz w:val="20"/>
          <w:szCs w:val="20"/>
          <w:u w:val="single"/>
          <w:rtl/>
        </w:rPr>
        <w:t>إثبات الدخل</w:t>
      </w:r>
      <w:r>
        <w:rPr>
          <w:rFonts w:hint="cs"/>
          <w:sz w:val="20"/>
          <w:szCs w:val="20"/>
          <w:u w:val="single"/>
          <w:rtl/>
        </w:rPr>
        <w:t>:</w:t>
      </w:r>
    </w:p>
    <w:p w14:paraId="18E0C1FD" w14:textId="227A3609" w:rsidR="008F3FDC" w:rsidRDefault="00C04D7F" w:rsidP="00C04D7F">
      <w:pPr>
        <w:bidi/>
        <w:spacing w:after="0"/>
        <w:rPr>
          <w:rFonts w:cs="Arial"/>
          <w:sz w:val="20"/>
          <w:szCs w:val="20"/>
        </w:rPr>
      </w:pPr>
      <w:r w:rsidRPr="00C04D7F">
        <w:rPr>
          <w:rFonts w:cs="Arial"/>
          <w:sz w:val="20"/>
          <w:szCs w:val="20"/>
          <w:rtl/>
        </w:rPr>
        <w:t>يُطلب تقديم إثبات الدخل لتحديد قيمة الرسوم اليومية للزيارة وفقًا لجدول الرسوم المتدرجة. يمكن استخدام نسخة من إقرارك الضريبي الفيدرالي</w:t>
      </w:r>
      <w:r>
        <w:rPr>
          <w:rFonts w:cs="Arial" w:hint="cs"/>
          <w:sz w:val="20"/>
          <w:szCs w:val="20"/>
          <w:rtl/>
        </w:rPr>
        <w:t>,</w:t>
      </w:r>
      <w:r w:rsidRPr="00C04D7F">
        <w:rPr>
          <w:rFonts w:cs="Arial"/>
          <w:sz w:val="20"/>
          <w:szCs w:val="20"/>
          <w:rtl/>
        </w:rPr>
        <w:t xml:space="preserve"> أو نموذج</w:t>
      </w:r>
      <w:r w:rsidRPr="00C04D7F">
        <w:rPr>
          <w:sz w:val="20"/>
          <w:szCs w:val="20"/>
        </w:rPr>
        <w:t xml:space="preserve"> W-2</w:t>
      </w:r>
      <w:r>
        <w:rPr>
          <w:rFonts w:cs="Arial" w:hint="cs"/>
          <w:sz w:val="20"/>
          <w:szCs w:val="20"/>
          <w:rtl/>
        </w:rPr>
        <w:t>,</w:t>
      </w:r>
      <w:r w:rsidRPr="00C04D7F">
        <w:rPr>
          <w:rFonts w:cs="Arial"/>
          <w:sz w:val="20"/>
          <w:szCs w:val="20"/>
          <w:rtl/>
        </w:rPr>
        <w:t xml:space="preserve"> أو آخر ثلاثة كشوف رواتب، أو خطاب إعانة البطالة. إذا لم تكن لديك هذه المستندات، يمكنك التوقيع على نموذج الإقرار الذاتي للدخل</w:t>
      </w:r>
      <w:r>
        <w:rPr>
          <w:rFonts w:cs="Arial"/>
          <w:sz w:val="20"/>
          <w:szCs w:val="20"/>
        </w:rPr>
        <w:t xml:space="preserve"> </w:t>
      </w:r>
    </w:p>
    <w:p w14:paraId="6012C01E" w14:textId="77777777" w:rsidR="00901AA7" w:rsidRDefault="00901AA7" w:rsidP="00901AA7">
      <w:pPr>
        <w:bidi/>
        <w:spacing w:after="0"/>
        <w:rPr>
          <w:sz w:val="20"/>
          <w:szCs w:val="20"/>
          <w:rtl/>
        </w:rPr>
      </w:pPr>
    </w:p>
    <w:tbl>
      <w:tblPr>
        <w:tblStyle w:val="TableGrid"/>
        <w:tblpPr w:leftFromText="180" w:rightFromText="180" w:vertAnchor="text" w:horzAnchor="margin" w:tblpY="85"/>
        <w:tblW w:w="0" w:type="auto"/>
        <w:tblLook w:val="04A0" w:firstRow="1" w:lastRow="0" w:firstColumn="1" w:lastColumn="0" w:noHBand="0" w:noVBand="1"/>
      </w:tblPr>
      <w:tblGrid>
        <w:gridCol w:w="2335"/>
        <w:gridCol w:w="2250"/>
        <w:gridCol w:w="2340"/>
        <w:gridCol w:w="2425"/>
      </w:tblGrid>
      <w:tr w:rsidR="00901AA7" w:rsidRPr="00901AA7" w14:paraId="21F5718F" w14:textId="77777777" w:rsidTr="00901AA7">
        <w:tc>
          <w:tcPr>
            <w:tcW w:w="2335" w:type="dxa"/>
            <w:shd w:val="clear" w:color="auto" w:fill="C5E0B3" w:themeFill="accent6" w:themeFillTint="66"/>
          </w:tcPr>
          <w:p w14:paraId="59A48E0E" w14:textId="77777777" w:rsidR="00901AA7" w:rsidRPr="00901AA7" w:rsidRDefault="00901AA7" w:rsidP="00901AA7">
            <w:pPr>
              <w:jc w:val="right"/>
              <w:rPr>
                <w:bCs/>
              </w:rPr>
            </w:pPr>
            <w:r w:rsidRPr="00901AA7">
              <w:rPr>
                <w:rFonts w:cs="Arial"/>
                <w:bCs/>
                <w:rtl/>
              </w:rPr>
              <w:t>الدخل السنوي (بين 151-200% من خط الفقر الفيدرالي)</w:t>
            </w:r>
          </w:p>
        </w:tc>
        <w:tc>
          <w:tcPr>
            <w:tcW w:w="2250" w:type="dxa"/>
            <w:shd w:val="clear" w:color="auto" w:fill="C5E0B3" w:themeFill="accent6" w:themeFillTint="66"/>
          </w:tcPr>
          <w:p w14:paraId="18EA9537" w14:textId="77777777" w:rsidR="00901AA7" w:rsidRPr="00901AA7" w:rsidRDefault="00901AA7" w:rsidP="00901AA7">
            <w:pPr>
              <w:jc w:val="right"/>
              <w:rPr>
                <w:bCs/>
              </w:rPr>
            </w:pPr>
            <w:r w:rsidRPr="00901AA7">
              <w:rPr>
                <w:rFonts w:cs="Arial"/>
                <w:bCs/>
                <w:rtl/>
              </w:rPr>
              <w:t>الدخل السنوي (بين 101% و 150% من خط الفقر الفيدرالي)</w:t>
            </w:r>
          </w:p>
        </w:tc>
        <w:tc>
          <w:tcPr>
            <w:tcW w:w="2340" w:type="dxa"/>
            <w:shd w:val="clear" w:color="auto" w:fill="C5E0B3" w:themeFill="accent6" w:themeFillTint="66"/>
          </w:tcPr>
          <w:p w14:paraId="7A6B288F" w14:textId="77777777" w:rsidR="00901AA7" w:rsidRPr="00901AA7" w:rsidRDefault="00901AA7" w:rsidP="00901AA7">
            <w:pPr>
              <w:jc w:val="right"/>
              <w:rPr>
                <w:bCs/>
              </w:rPr>
            </w:pPr>
            <w:r w:rsidRPr="00901AA7">
              <w:rPr>
                <w:rFonts w:cs="Arial"/>
                <w:bCs/>
                <w:rtl/>
              </w:rPr>
              <w:t>الدخل السنوي (عند مستوى خط الفقر الفيدرالي أو أقل منه)</w:t>
            </w:r>
          </w:p>
        </w:tc>
        <w:tc>
          <w:tcPr>
            <w:tcW w:w="2425" w:type="dxa"/>
            <w:shd w:val="clear" w:color="auto" w:fill="C5E0B3" w:themeFill="accent6" w:themeFillTint="66"/>
          </w:tcPr>
          <w:p w14:paraId="7BFFDE05" w14:textId="77777777" w:rsidR="00901AA7" w:rsidRPr="00901AA7" w:rsidRDefault="00901AA7" w:rsidP="00901AA7">
            <w:pPr>
              <w:jc w:val="right"/>
              <w:rPr>
                <w:bCs/>
              </w:rPr>
            </w:pPr>
            <w:r w:rsidRPr="00901AA7">
              <w:rPr>
                <w:rFonts w:cs="Arial"/>
                <w:bCs/>
                <w:rtl/>
              </w:rPr>
              <w:t>حجم العائلة</w:t>
            </w:r>
          </w:p>
        </w:tc>
      </w:tr>
      <w:tr w:rsidR="00901AA7" w14:paraId="35022ABF" w14:textId="77777777" w:rsidTr="00901AA7">
        <w:tc>
          <w:tcPr>
            <w:tcW w:w="2335" w:type="dxa"/>
          </w:tcPr>
          <w:p w14:paraId="60124BA5" w14:textId="77777777" w:rsidR="00901AA7" w:rsidRDefault="00901AA7" w:rsidP="00901AA7">
            <w:pPr>
              <w:jc w:val="right"/>
            </w:pPr>
            <w:r>
              <w:t>$</w:t>
            </w:r>
            <w:r w:rsidRPr="00653056">
              <w:t>23,94</w:t>
            </w:r>
            <w:r>
              <w:t>1</w:t>
            </w:r>
            <w:r w:rsidRPr="00733A56">
              <w:t>-$31,920</w:t>
            </w:r>
          </w:p>
        </w:tc>
        <w:tc>
          <w:tcPr>
            <w:tcW w:w="2250" w:type="dxa"/>
          </w:tcPr>
          <w:p w14:paraId="38ECEAD5" w14:textId="77777777" w:rsidR="00901AA7" w:rsidRPr="0036305A" w:rsidRDefault="00901AA7" w:rsidP="00901AA7">
            <w:pPr>
              <w:jc w:val="right"/>
            </w:pPr>
            <w:r w:rsidRPr="0036305A">
              <w:t>$15,</w:t>
            </w:r>
            <w:r w:rsidRPr="00653056">
              <w:t>961-$23,940</w:t>
            </w:r>
          </w:p>
        </w:tc>
        <w:tc>
          <w:tcPr>
            <w:tcW w:w="2340" w:type="dxa"/>
          </w:tcPr>
          <w:p w14:paraId="73F9CAD0" w14:textId="77777777" w:rsidR="00901AA7" w:rsidRPr="00653056" w:rsidRDefault="00901AA7" w:rsidP="00901AA7">
            <w:pPr>
              <w:jc w:val="right"/>
              <w:rPr>
                <w:highlight w:val="yellow"/>
              </w:rPr>
            </w:pPr>
            <w:r w:rsidRPr="0036305A">
              <w:t>$0-$15,</w:t>
            </w:r>
            <w:r>
              <w:t>960</w:t>
            </w:r>
          </w:p>
        </w:tc>
        <w:tc>
          <w:tcPr>
            <w:tcW w:w="2425" w:type="dxa"/>
          </w:tcPr>
          <w:p w14:paraId="50E67ACF" w14:textId="77777777" w:rsidR="00901AA7" w:rsidRPr="00901AA7" w:rsidRDefault="00901AA7" w:rsidP="00901AA7">
            <w:pPr>
              <w:jc w:val="right"/>
            </w:pPr>
            <w:r w:rsidRPr="00901AA7">
              <w:t>1</w:t>
            </w:r>
          </w:p>
        </w:tc>
      </w:tr>
      <w:tr w:rsidR="00901AA7" w14:paraId="29A4BF20" w14:textId="77777777" w:rsidTr="00901AA7">
        <w:tc>
          <w:tcPr>
            <w:tcW w:w="2335" w:type="dxa"/>
          </w:tcPr>
          <w:p w14:paraId="2F2EA92B" w14:textId="77777777" w:rsidR="00901AA7" w:rsidRDefault="00901AA7" w:rsidP="00901AA7">
            <w:pPr>
              <w:jc w:val="right"/>
            </w:pPr>
            <w:r w:rsidRPr="00733A56">
              <w:t>$32,461-$43,280</w:t>
            </w:r>
          </w:p>
        </w:tc>
        <w:tc>
          <w:tcPr>
            <w:tcW w:w="2250" w:type="dxa"/>
          </w:tcPr>
          <w:p w14:paraId="2C1CB0E9" w14:textId="77777777" w:rsidR="00901AA7" w:rsidRPr="0036305A" w:rsidRDefault="00901AA7" w:rsidP="00901AA7">
            <w:pPr>
              <w:jc w:val="right"/>
            </w:pPr>
            <w:r w:rsidRPr="00733A56">
              <w:t>$21,641-$32,460</w:t>
            </w:r>
          </w:p>
        </w:tc>
        <w:tc>
          <w:tcPr>
            <w:tcW w:w="2340" w:type="dxa"/>
          </w:tcPr>
          <w:p w14:paraId="63BBAFC3" w14:textId="77777777" w:rsidR="00901AA7" w:rsidRPr="00733A56" w:rsidRDefault="00901AA7" w:rsidP="00901AA7">
            <w:pPr>
              <w:jc w:val="right"/>
            </w:pPr>
            <w:r w:rsidRPr="0036305A">
              <w:t>$0-</w:t>
            </w:r>
            <w:r w:rsidRPr="00653056">
              <w:t>$21,640</w:t>
            </w:r>
          </w:p>
        </w:tc>
        <w:tc>
          <w:tcPr>
            <w:tcW w:w="2425" w:type="dxa"/>
          </w:tcPr>
          <w:p w14:paraId="3252B2DE" w14:textId="77777777" w:rsidR="00901AA7" w:rsidRPr="00901AA7" w:rsidRDefault="00901AA7" w:rsidP="00901AA7">
            <w:pPr>
              <w:jc w:val="right"/>
            </w:pPr>
            <w:r w:rsidRPr="00901AA7">
              <w:t>2</w:t>
            </w:r>
          </w:p>
        </w:tc>
      </w:tr>
      <w:tr w:rsidR="00901AA7" w14:paraId="162CB16D" w14:textId="77777777" w:rsidTr="00901AA7">
        <w:tc>
          <w:tcPr>
            <w:tcW w:w="2335" w:type="dxa"/>
          </w:tcPr>
          <w:p w14:paraId="3044E540" w14:textId="77777777" w:rsidR="00901AA7" w:rsidRDefault="00901AA7" w:rsidP="00901AA7">
            <w:pPr>
              <w:jc w:val="right"/>
            </w:pPr>
            <w:r w:rsidRPr="00733A56">
              <w:t>$40,981-$54,640</w:t>
            </w:r>
          </w:p>
        </w:tc>
        <w:tc>
          <w:tcPr>
            <w:tcW w:w="2250" w:type="dxa"/>
          </w:tcPr>
          <w:p w14:paraId="5E1B8BAF" w14:textId="77777777" w:rsidR="00901AA7" w:rsidRPr="0036305A" w:rsidRDefault="00901AA7" w:rsidP="00901AA7">
            <w:pPr>
              <w:jc w:val="right"/>
            </w:pPr>
            <w:r w:rsidRPr="00733A56">
              <w:t>$2</w:t>
            </w:r>
            <w:r>
              <w:t>7,</w:t>
            </w:r>
            <w:r w:rsidRPr="00733A56">
              <w:t>321-$40,980</w:t>
            </w:r>
          </w:p>
        </w:tc>
        <w:tc>
          <w:tcPr>
            <w:tcW w:w="2340" w:type="dxa"/>
          </w:tcPr>
          <w:p w14:paraId="61CAA4B2" w14:textId="77777777" w:rsidR="00901AA7" w:rsidRPr="00733A56" w:rsidRDefault="00901AA7" w:rsidP="00901AA7">
            <w:pPr>
              <w:jc w:val="right"/>
            </w:pPr>
            <w:r w:rsidRPr="0036305A">
              <w:t>$0-</w:t>
            </w:r>
            <w:r w:rsidRPr="00653056">
              <w:t>$27,320</w:t>
            </w:r>
          </w:p>
        </w:tc>
        <w:tc>
          <w:tcPr>
            <w:tcW w:w="2425" w:type="dxa"/>
          </w:tcPr>
          <w:p w14:paraId="361D1EA0" w14:textId="77777777" w:rsidR="00901AA7" w:rsidRPr="00901AA7" w:rsidRDefault="00901AA7" w:rsidP="00901AA7">
            <w:pPr>
              <w:jc w:val="right"/>
            </w:pPr>
            <w:r w:rsidRPr="00901AA7">
              <w:t>3</w:t>
            </w:r>
          </w:p>
        </w:tc>
      </w:tr>
      <w:tr w:rsidR="00901AA7" w14:paraId="1CADB757" w14:textId="77777777" w:rsidTr="00901AA7">
        <w:tc>
          <w:tcPr>
            <w:tcW w:w="2335" w:type="dxa"/>
          </w:tcPr>
          <w:p w14:paraId="4B9F5925" w14:textId="77777777" w:rsidR="00901AA7" w:rsidRDefault="00901AA7" w:rsidP="00901AA7">
            <w:pPr>
              <w:jc w:val="right"/>
            </w:pPr>
            <w:r w:rsidRPr="00733A56">
              <w:t>$49,501-$66,000</w:t>
            </w:r>
          </w:p>
        </w:tc>
        <w:tc>
          <w:tcPr>
            <w:tcW w:w="2250" w:type="dxa"/>
          </w:tcPr>
          <w:p w14:paraId="3B2BC346" w14:textId="77777777" w:rsidR="00901AA7" w:rsidRPr="0036305A" w:rsidRDefault="00901AA7" w:rsidP="00901AA7">
            <w:pPr>
              <w:jc w:val="right"/>
            </w:pPr>
            <w:r w:rsidRPr="00733A56">
              <w:t>$33,001-$49,500</w:t>
            </w:r>
          </w:p>
        </w:tc>
        <w:tc>
          <w:tcPr>
            <w:tcW w:w="2340" w:type="dxa"/>
          </w:tcPr>
          <w:p w14:paraId="18EF1E50" w14:textId="77777777" w:rsidR="00901AA7" w:rsidRPr="00733A56" w:rsidRDefault="00901AA7" w:rsidP="00901AA7">
            <w:pPr>
              <w:jc w:val="right"/>
            </w:pPr>
            <w:r w:rsidRPr="0036305A">
              <w:t>$0-</w:t>
            </w:r>
            <w:r w:rsidRPr="00653056">
              <w:t>$33,000</w:t>
            </w:r>
          </w:p>
        </w:tc>
        <w:tc>
          <w:tcPr>
            <w:tcW w:w="2425" w:type="dxa"/>
          </w:tcPr>
          <w:p w14:paraId="286A9A49" w14:textId="77777777" w:rsidR="00901AA7" w:rsidRPr="00901AA7" w:rsidRDefault="00901AA7" w:rsidP="00901AA7">
            <w:pPr>
              <w:jc w:val="right"/>
            </w:pPr>
            <w:r w:rsidRPr="00901AA7">
              <w:t>4</w:t>
            </w:r>
          </w:p>
        </w:tc>
      </w:tr>
      <w:tr w:rsidR="00901AA7" w14:paraId="704B6371" w14:textId="77777777" w:rsidTr="00901AA7">
        <w:tc>
          <w:tcPr>
            <w:tcW w:w="2335" w:type="dxa"/>
          </w:tcPr>
          <w:p w14:paraId="4F5F4FC2" w14:textId="77777777" w:rsidR="00901AA7" w:rsidRDefault="00901AA7" w:rsidP="00901AA7">
            <w:pPr>
              <w:jc w:val="right"/>
            </w:pPr>
            <w:r w:rsidRPr="00733A56">
              <w:t>$58,021-$77,360</w:t>
            </w:r>
          </w:p>
        </w:tc>
        <w:tc>
          <w:tcPr>
            <w:tcW w:w="2250" w:type="dxa"/>
          </w:tcPr>
          <w:p w14:paraId="1683A670" w14:textId="77777777" w:rsidR="00901AA7" w:rsidRPr="0036305A" w:rsidRDefault="00901AA7" w:rsidP="00901AA7">
            <w:pPr>
              <w:jc w:val="right"/>
            </w:pPr>
            <w:r w:rsidRPr="00733A56">
              <w:t>$38,681-$58,020</w:t>
            </w:r>
          </w:p>
        </w:tc>
        <w:tc>
          <w:tcPr>
            <w:tcW w:w="2340" w:type="dxa"/>
          </w:tcPr>
          <w:p w14:paraId="5394CBD0" w14:textId="77777777" w:rsidR="00901AA7" w:rsidRPr="00733A56" w:rsidRDefault="00901AA7" w:rsidP="00901AA7">
            <w:pPr>
              <w:jc w:val="right"/>
            </w:pPr>
            <w:r w:rsidRPr="0036305A">
              <w:t>$0-</w:t>
            </w:r>
            <w:r w:rsidRPr="00653056">
              <w:t>$38,680</w:t>
            </w:r>
          </w:p>
        </w:tc>
        <w:tc>
          <w:tcPr>
            <w:tcW w:w="2425" w:type="dxa"/>
          </w:tcPr>
          <w:p w14:paraId="0E5BBC16" w14:textId="77777777" w:rsidR="00901AA7" w:rsidRPr="00901AA7" w:rsidRDefault="00901AA7" w:rsidP="00901AA7">
            <w:pPr>
              <w:jc w:val="right"/>
            </w:pPr>
            <w:r w:rsidRPr="00901AA7">
              <w:t>5</w:t>
            </w:r>
          </w:p>
        </w:tc>
      </w:tr>
      <w:tr w:rsidR="00901AA7" w14:paraId="68793590" w14:textId="77777777" w:rsidTr="00901AA7">
        <w:tc>
          <w:tcPr>
            <w:tcW w:w="2335" w:type="dxa"/>
          </w:tcPr>
          <w:p w14:paraId="1732E2E2" w14:textId="77777777" w:rsidR="00901AA7" w:rsidRDefault="00901AA7" w:rsidP="00901AA7">
            <w:pPr>
              <w:jc w:val="right"/>
            </w:pPr>
            <w:r w:rsidRPr="00733A56">
              <w:t>$66,54</w:t>
            </w:r>
            <w:r>
              <w:t>1</w:t>
            </w:r>
            <w:r w:rsidRPr="00733A56">
              <w:t>-$88,720</w:t>
            </w:r>
          </w:p>
        </w:tc>
        <w:tc>
          <w:tcPr>
            <w:tcW w:w="2250" w:type="dxa"/>
          </w:tcPr>
          <w:p w14:paraId="1636C342" w14:textId="77777777" w:rsidR="00901AA7" w:rsidRPr="0036305A" w:rsidRDefault="00901AA7" w:rsidP="00901AA7">
            <w:pPr>
              <w:jc w:val="right"/>
            </w:pPr>
            <w:r w:rsidRPr="00733A56">
              <w:t>$44,361-$66,540</w:t>
            </w:r>
          </w:p>
        </w:tc>
        <w:tc>
          <w:tcPr>
            <w:tcW w:w="2340" w:type="dxa"/>
          </w:tcPr>
          <w:p w14:paraId="4DED7592" w14:textId="77777777" w:rsidR="00901AA7" w:rsidRPr="00733A56" w:rsidRDefault="00901AA7" w:rsidP="00901AA7">
            <w:pPr>
              <w:jc w:val="right"/>
            </w:pPr>
            <w:r w:rsidRPr="0036305A">
              <w:t>$0-</w:t>
            </w:r>
            <w:r w:rsidRPr="00653056">
              <w:t>$44,360</w:t>
            </w:r>
          </w:p>
        </w:tc>
        <w:tc>
          <w:tcPr>
            <w:tcW w:w="2425" w:type="dxa"/>
          </w:tcPr>
          <w:p w14:paraId="29C43D87" w14:textId="77777777" w:rsidR="00901AA7" w:rsidRPr="00901AA7" w:rsidRDefault="00901AA7" w:rsidP="00901AA7">
            <w:pPr>
              <w:jc w:val="right"/>
            </w:pPr>
            <w:r w:rsidRPr="00901AA7">
              <w:t>6</w:t>
            </w:r>
          </w:p>
        </w:tc>
      </w:tr>
      <w:tr w:rsidR="00901AA7" w14:paraId="2C51349E" w14:textId="77777777" w:rsidTr="00901AA7">
        <w:tc>
          <w:tcPr>
            <w:tcW w:w="2335" w:type="dxa"/>
          </w:tcPr>
          <w:p w14:paraId="0D08C722" w14:textId="77777777" w:rsidR="00901AA7" w:rsidRDefault="00901AA7" w:rsidP="00901AA7">
            <w:pPr>
              <w:jc w:val="right"/>
            </w:pPr>
            <w:r w:rsidRPr="00733A56">
              <w:t>$75,061-$100,080</w:t>
            </w:r>
          </w:p>
        </w:tc>
        <w:tc>
          <w:tcPr>
            <w:tcW w:w="2250" w:type="dxa"/>
          </w:tcPr>
          <w:p w14:paraId="24CC1375" w14:textId="77777777" w:rsidR="00901AA7" w:rsidRPr="0036305A" w:rsidRDefault="00901AA7" w:rsidP="00901AA7">
            <w:pPr>
              <w:jc w:val="right"/>
            </w:pPr>
            <w:r w:rsidRPr="00653056">
              <w:t>$50,</w:t>
            </w:r>
            <w:r w:rsidRPr="00733A56">
              <w:t>041-$75,060</w:t>
            </w:r>
          </w:p>
        </w:tc>
        <w:tc>
          <w:tcPr>
            <w:tcW w:w="2340" w:type="dxa"/>
          </w:tcPr>
          <w:p w14:paraId="44133A82" w14:textId="77777777" w:rsidR="00901AA7" w:rsidRPr="00653056" w:rsidRDefault="00901AA7" w:rsidP="00901AA7">
            <w:pPr>
              <w:jc w:val="right"/>
              <w:rPr>
                <w:highlight w:val="yellow"/>
              </w:rPr>
            </w:pPr>
            <w:r w:rsidRPr="0036305A">
              <w:t>$0-</w:t>
            </w:r>
            <w:r w:rsidRPr="00653056">
              <w:t>$50,040</w:t>
            </w:r>
          </w:p>
        </w:tc>
        <w:tc>
          <w:tcPr>
            <w:tcW w:w="2425" w:type="dxa"/>
          </w:tcPr>
          <w:p w14:paraId="30B86040" w14:textId="77777777" w:rsidR="00901AA7" w:rsidRPr="00901AA7" w:rsidRDefault="00901AA7" w:rsidP="00901AA7">
            <w:pPr>
              <w:jc w:val="right"/>
            </w:pPr>
            <w:r w:rsidRPr="00901AA7">
              <w:t>7</w:t>
            </w:r>
          </w:p>
        </w:tc>
      </w:tr>
      <w:tr w:rsidR="00901AA7" w14:paraId="19079ADA" w14:textId="77777777" w:rsidTr="00901AA7">
        <w:tc>
          <w:tcPr>
            <w:tcW w:w="2335" w:type="dxa"/>
          </w:tcPr>
          <w:p w14:paraId="425C622C" w14:textId="77777777" w:rsidR="00901AA7" w:rsidRPr="00EB37ED" w:rsidRDefault="00901AA7" w:rsidP="00901AA7">
            <w:pPr>
              <w:jc w:val="right"/>
            </w:pPr>
            <w:r w:rsidRPr="00733A56">
              <w:t>$83,581-$111,440</w:t>
            </w:r>
          </w:p>
        </w:tc>
        <w:tc>
          <w:tcPr>
            <w:tcW w:w="2250" w:type="dxa"/>
          </w:tcPr>
          <w:p w14:paraId="6D2F047A" w14:textId="77777777" w:rsidR="00901AA7" w:rsidRPr="0036305A" w:rsidRDefault="00901AA7" w:rsidP="00901AA7">
            <w:pPr>
              <w:jc w:val="right"/>
            </w:pPr>
            <w:r w:rsidRPr="00653056">
              <w:t>$55,</w:t>
            </w:r>
            <w:r w:rsidRPr="00733A56">
              <w:t>721-$83,580</w:t>
            </w:r>
          </w:p>
        </w:tc>
        <w:tc>
          <w:tcPr>
            <w:tcW w:w="2340" w:type="dxa"/>
          </w:tcPr>
          <w:p w14:paraId="3FCBBC00" w14:textId="77777777" w:rsidR="00901AA7" w:rsidRPr="00653056" w:rsidRDefault="00901AA7" w:rsidP="00901AA7">
            <w:pPr>
              <w:jc w:val="right"/>
              <w:rPr>
                <w:highlight w:val="yellow"/>
              </w:rPr>
            </w:pPr>
            <w:r w:rsidRPr="0036305A">
              <w:t>$0-</w:t>
            </w:r>
            <w:r w:rsidRPr="00653056">
              <w:t>$55,720</w:t>
            </w:r>
          </w:p>
        </w:tc>
        <w:tc>
          <w:tcPr>
            <w:tcW w:w="2425" w:type="dxa"/>
          </w:tcPr>
          <w:p w14:paraId="05F81343" w14:textId="77777777" w:rsidR="00901AA7" w:rsidRPr="00901AA7" w:rsidRDefault="00901AA7" w:rsidP="00901AA7">
            <w:pPr>
              <w:jc w:val="right"/>
            </w:pPr>
            <w:r w:rsidRPr="00901AA7">
              <w:t>8</w:t>
            </w:r>
          </w:p>
        </w:tc>
      </w:tr>
      <w:tr w:rsidR="00901AA7" w14:paraId="206643F0" w14:textId="77777777" w:rsidTr="00901AA7">
        <w:tc>
          <w:tcPr>
            <w:tcW w:w="2335" w:type="dxa"/>
          </w:tcPr>
          <w:p w14:paraId="53CC68CC" w14:textId="77777777" w:rsidR="00901AA7" w:rsidRPr="00EB37ED" w:rsidRDefault="00901AA7" w:rsidP="00901AA7">
            <w:pPr>
              <w:jc w:val="right"/>
            </w:pPr>
            <w:r w:rsidRPr="00EB37ED">
              <w:t>$92,101-$122,8</w:t>
            </w:r>
            <w:r>
              <w:t>0</w:t>
            </w:r>
            <w:r w:rsidRPr="00EB37ED">
              <w:t>0</w:t>
            </w:r>
          </w:p>
        </w:tc>
        <w:tc>
          <w:tcPr>
            <w:tcW w:w="2250" w:type="dxa"/>
          </w:tcPr>
          <w:p w14:paraId="63DD3E83" w14:textId="77777777" w:rsidR="00901AA7" w:rsidRPr="00733A56" w:rsidRDefault="00901AA7" w:rsidP="00901AA7">
            <w:pPr>
              <w:jc w:val="right"/>
              <w:rPr>
                <w:color w:val="FF0000"/>
              </w:rPr>
            </w:pPr>
            <w:r w:rsidRPr="00D264D5">
              <w:t>$61,</w:t>
            </w:r>
            <w:r w:rsidRPr="007F1B14">
              <w:t>401-$92,100</w:t>
            </w:r>
          </w:p>
        </w:tc>
        <w:tc>
          <w:tcPr>
            <w:tcW w:w="2340" w:type="dxa"/>
          </w:tcPr>
          <w:p w14:paraId="39B410B7" w14:textId="77777777" w:rsidR="00901AA7" w:rsidRPr="00733A56" w:rsidRDefault="00901AA7" w:rsidP="00901AA7">
            <w:pPr>
              <w:jc w:val="right"/>
              <w:rPr>
                <w:color w:val="FF0000"/>
              </w:rPr>
            </w:pPr>
            <w:r w:rsidRPr="00D264D5">
              <w:t>$0-$61,400</w:t>
            </w:r>
          </w:p>
        </w:tc>
        <w:tc>
          <w:tcPr>
            <w:tcW w:w="2425" w:type="dxa"/>
          </w:tcPr>
          <w:p w14:paraId="4BF21040" w14:textId="77777777" w:rsidR="00901AA7" w:rsidRPr="00901AA7" w:rsidRDefault="00901AA7" w:rsidP="00901AA7">
            <w:pPr>
              <w:jc w:val="right"/>
            </w:pPr>
            <w:r w:rsidRPr="00901AA7">
              <w:t>9</w:t>
            </w:r>
          </w:p>
        </w:tc>
      </w:tr>
      <w:tr w:rsidR="00901AA7" w14:paraId="47A309BE" w14:textId="77777777" w:rsidTr="00901AA7">
        <w:tc>
          <w:tcPr>
            <w:tcW w:w="2335" w:type="dxa"/>
          </w:tcPr>
          <w:p w14:paraId="0E491C1E" w14:textId="77777777" w:rsidR="00901AA7" w:rsidRPr="00EB37ED" w:rsidRDefault="00901AA7" w:rsidP="00901AA7">
            <w:pPr>
              <w:jc w:val="right"/>
            </w:pPr>
            <w:r w:rsidRPr="00EB37ED">
              <w:t>$100,621-$134,160</w:t>
            </w:r>
          </w:p>
        </w:tc>
        <w:tc>
          <w:tcPr>
            <w:tcW w:w="2250" w:type="dxa"/>
          </w:tcPr>
          <w:p w14:paraId="25C85AC8" w14:textId="77777777" w:rsidR="00901AA7" w:rsidRPr="00733A56" w:rsidRDefault="00901AA7" w:rsidP="00901AA7">
            <w:pPr>
              <w:jc w:val="right"/>
              <w:rPr>
                <w:color w:val="FF0000"/>
              </w:rPr>
            </w:pPr>
            <w:r w:rsidRPr="00D264D5">
              <w:t>$67,</w:t>
            </w:r>
            <w:r w:rsidRPr="007F1B14">
              <w:t>081-$100,620</w:t>
            </w:r>
          </w:p>
        </w:tc>
        <w:tc>
          <w:tcPr>
            <w:tcW w:w="2340" w:type="dxa"/>
          </w:tcPr>
          <w:p w14:paraId="124F60C2" w14:textId="77777777" w:rsidR="00901AA7" w:rsidRPr="00733A56" w:rsidRDefault="00901AA7" w:rsidP="00901AA7">
            <w:pPr>
              <w:jc w:val="right"/>
              <w:rPr>
                <w:color w:val="FF0000"/>
              </w:rPr>
            </w:pPr>
            <w:r w:rsidRPr="00D264D5">
              <w:t>$0-$67,080</w:t>
            </w:r>
          </w:p>
        </w:tc>
        <w:tc>
          <w:tcPr>
            <w:tcW w:w="2425" w:type="dxa"/>
          </w:tcPr>
          <w:p w14:paraId="0A3FAB80" w14:textId="77777777" w:rsidR="00901AA7" w:rsidRPr="00901AA7" w:rsidRDefault="00901AA7" w:rsidP="00901AA7">
            <w:pPr>
              <w:jc w:val="right"/>
            </w:pPr>
            <w:r w:rsidRPr="00901AA7">
              <w:t>10</w:t>
            </w:r>
          </w:p>
        </w:tc>
      </w:tr>
      <w:tr w:rsidR="00901AA7" w14:paraId="1EA6E860" w14:textId="77777777" w:rsidTr="00901AA7">
        <w:tc>
          <w:tcPr>
            <w:tcW w:w="2335" w:type="dxa"/>
          </w:tcPr>
          <w:p w14:paraId="54B9995C" w14:textId="77777777" w:rsidR="00901AA7" w:rsidRPr="00EB37ED" w:rsidRDefault="00901AA7" w:rsidP="00901AA7">
            <w:pPr>
              <w:jc w:val="right"/>
            </w:pPr>
            <w:r w:rsidRPr="007F1B14">
              <w:t>$11,360</w:t>
            </w:r>
          </w:p>
        </w:tc>
        <w:tc>
          <w:tcPr>
            <w:tcW w:w="2250" w:type="dxa"/>
          </w:tcPr>
          <w:p w14:paraId="6F3D485E" w14:textId="77777777" w:rsidR="00901AA7" w:rsidRPr="0036305A" w:rsidRDefault="00901AA7" w:rsidP="00901AA7">
            <w:pPr>
              <w:jc w:val="right"/>
            </w:pPr>
            <w:r w:rsidRPr="007F1B14">
              <w:t>$8,520</w:t>
            </w:r>
          </w:p>
        </w:tc>
        <w:tc>
          <w:tcPr>
            <w:tcW w:w="2340" w:type="dxa"/>
          </w:tcPr>
          <w:p w14:paraId="1D0E3836" w14:textId="77777777" w:rsidR="00901AA7" w:rsidRPr="007F1B14" w:rsidRDefault="00901AA7" w:rsidP="00901AA7">
            <w:pPr>
              <w:jc w:val="right"/>
            </w:pPr>
            <w:r w:rsidRPr="00653056">
              <w:t>$5,680</w:t>
            </w:r>
          </w:p>
        </w:tc>
        <w:tc>
          <w:tcPr>
            <w:tcW w:w="2425" w:type="dxa"/>
          </w:tcPr>
          <w:p w14:paraId="458F1F0C" w14:textId="77777777" w:rsidR="00901AA7" w:rsidRPr="00653056" w:rsidRDefault="00901AA7" w:rsidP="00901AA7">
            <w:pPr>
              <w:rPr>
                <w:highlight w:val="yellow"/>
              </w:rPr>
            </w:pPr>
            <w:r w:rsidRPr="00901AA7">
              <w:rPr>
                <w:rFonts w:cs="Arial"/>
                <w:rtl/>
              </w:rPr>
              <w:t>لكل فرد إضافي في العائلة، أضف ما يلي</w:t>
            </w:r>
            <w:r w:rsidRPr="00901AA7">
              <w:t>:</w:t>
            </w:r>
          </w:p>
        </w:tc>
      </w:tr>
    </w:tbl>
    <w:p w14:paraId="254B5F3E" w14:textId="77777777" w:rsidR="00C04D7F" w:rsidRDefault="00C04D7F" w:rsidP="008F3FDC">
      <w:pPr>
        <w:spacing w:after="0"/>
      </w:pPr>
    </w:p>
    <w:p w14:paraId="39146249" w14:textId="77777777" w:rsidR="008F3FDC" w:rsidRDefault="008F3FDC" w:rsidP="008F3FDC">
      <w:pPr>
        <w:spacing w:after="0"/>
      </w:pPr>
    </w:p>
    <w:tbl>
      <w:tblPr>
        <w:tblStyle w:val="TableGrid"/>
        <w:tblW w:w="0" w:type="auto"/>
        <w:tblLook w:val="04A0" w:firstRow="1" w:lastRow="0" w:firstColumn="1" w:lastColumn="0" w:noHBand="0" w:noVBand="1"/>
      </w:tblPr>
      <w:tblGrid>
        <w:gridCol w:w="2337"/>
        <w:gridCol w:w="2248"/>
        <w:gridCol w:w="2340"/>
        <w:gridCol w:w="2425"/>
      </w:tblGrid>
      <w:tr w:rsidR="00900A19" w14:paraId="66B58B56" w14:textId="77777777" w:rsidTr="00900A19">
        <w:tc>
          <w:tcPr>
            <w:tcW w:w="2337" w:type="dxa"/>
          </w:tcPr>
          <w:p w14:paraId="5E0B6BC6" w14:textId="5C46E261" w:rsidR="00900A19" w:rsidRPr="00161ABD" w:rsidRDefault="00901AA7" w:rsidP="009236E4">
            <w:pPr>
              <w:jc w:val="right"/>
              <w:rPr>
                <w:sz w:val="20"/>
                <w:szCs w:val="20"/>
              </w:rPr>
            </w:pPr>
            <w:r>
              <w:t>$10</w:t>
            </w:r>
          </w:p>
        </w:tc>
        <w:tc>
          <w:tcPr>
            <w:tcW w:w="2248" w:type="dxa"/>
          </w:tcPr>
          <w:p w14:paraId="7732824A" w14:textId="6F49AAFD" w:rsidR="00900A19" w:rsidRDefault="00161ABD" w:rsidP="009236E4">
            <w:pPr>
              <w:jc w:val="right"/>
            </w:pPr>
            <w:r>
              <w:t>$</w:t>
            </w:r>
            <w:r w:rsidR="00901AA7">
              <w:t>5</w:t>
            </w:r>
          </w:p>
        </w:tc>
        <w:tc>
          <w:tcPr>
            <w:tcW w:w="2340" w:type="dxa"/>
          </w:tcPr>
          <w:p w14:paraId="67BD3848" w14:textId="249C0699" w:rsidR="00900A19" w:rsidRDefault="00161ABD" w:rsidP="009236E4">
            <w:pPr>
              <w:jc w:val="right"/>
            </w:pPr>
            <w:r>
              <w:t>$</w:t>
            </w:r>
            <w:r w:rsidR="00901AA7">
              <w:t>0</w:t>
            </w:r>
          </w:p>
        </w:tc>
        <w:tc>
          <w:tcPr>
            <w:tcW w:w="2425" w:type="dxa"/>
          </w:tcPr>
          <w:p w14:paraId="61251578" w14:textId="08B735F7" w:rsidR="00900A19" w:rsidRDefault="009236E4" w:rsidP="009236E4">
            <w:pPr>
              <w:jc w:val="right"/>
            </w:pPr>
            <w:r w:rsidRPr="009236E4">
              <w:rPr>
                <w:rFonts w:cs="Arial"/>
                <w:rtl/>
              </w:rPr>
              <w:t>مبلغ الزيارة اليومية وفقًا لجدول الرسوم المتغيرة</w:t>
            </w:r>
            <w:r w:rsidRPr="009236E4">
              <w:t>.</w:t>
            </w:r>
          </w:p>
        </w:tc>
      </w:tr>
      <w:tr w:rsidR="00900A19" w14:paraId="4C3908AA" w14:textId="77777777" w:rsidTr="00900A19">
        <w:tc>
          <w:tcPr>
            <w:tcW w:w="2337" w:type="dxa"/>
          </w:tcPr>
          <w:p w14:paraId="5DAF4DEA" w14:textId="5E5D4482" w:rsidR="00900A19" w:rsidRPr="00161ABD" w:rsidRDefault="00901AA7" w:rsidP="009236E4">
            <w:pPr>
              <w:jc w:val="right"/>
              <w:rPr>
                <w:sz w:val="20"/>
                <w:szCs w:val="20"/>
              </w:rPr>
            </w:pPr>
            <w:r>
              <w:t>$40</w:t>
            </w:r>
          </w:p>
        </w:tc>
        <w:tc>
          <w:tcPr>
            <w:tcW w:w="2248" w:type="dxa"/>
          </w:tcPr>
          <w:p w14:paraId="294CE486" w14:textId="4902539A" w:rsidR="00900A19" w:rsidRDefault="003A55FF" w:rsidP="009236E4">
            <w:pPr>
              <w:jc w:val="right"/>
            </w:pPr>
            <w:r>
              <w:t>$</w:t>
            </w:r>
            <w:r w:rsidR="009236E4">
              <w:t>20</w:t>
            </w:r>
          </w:p>
        </w:tc>
        <w:tc>
          <w:tcPr>
            <w:tcW w:w="2340" w:type="dxa"/>
          </w:tcPr>
          <w:p w14:paraId="05E7AC58" w14:textId="2EA36476" w:rsidR="00900A19" w:rsidRDefault="003A55FF" w:rsidP="009236E4">
            <w:pPr>
              <w:jc w:val="right"/>
            </w:pPr>
            <w:r>
              <w:t>$</w:t>
            </w:r>
            <w:r w:rsidR="009236E4">
              <w:t>0</w:t>
            </w:r>
          </w:p>
        </w:tc>
        <w:tc>
          <w:tcPr>
            <w:tcW w:w="2425" w:type="dxa"/>
          </w:tcPr>
          <w:p w14:paraId="23CB6045" w14:textId="30376A44" w:rsidR="00900A19" w:rsidRDefault="009236E4" w:rsidP="009236E4">
            <w:pPr>
              <w:jc w:val="right"/>
            </w:pPr>
            <w:r w:rsidRPr="009236E4">
              <w:rPr>
                <w:rFonts w:cs="Arial"/>
                <w:rtl/>
              </w:rPr>
              <w:t>الحد الأقصى لمبلغك الشهري</w:t>
            </w:r>
          </w:p>
        </w:tc>
      </w:tr>
    </w:tbl>
    <w:p w14:paraId="430E342E" w14:textId="77777777" w:rsidR="00900A19" w:rsidRDefault="00900A19" w:rsidP="009236E4">
      <w:pPr>
        <w:spacing w:after="0"/>
        <w:jc w:val="right"/>
      </w:pPr>
    </w:p>
    <w:p w14:paraId="659FF8C9" w14:textId="77777777" w:rsidR="009236E4" w:rsidRDefault="009236E4" w:rsidP="009236E4">
      <w:pPr>
        <w:spacing w:after="0"/>
        <w:jc w:val="right"/>
        <w:rPr>
          <w:rFonts w:cs="Arial"/>
          <w:sz w:val="20"/>
          <w:szCs w:val="20"/>
        </w:rPr>
      </w:pPr>
      <w:r w:rsidRPr="009236E4">
        <w:rPr>
          <w:rFonts w:cs="Arial"/>
          <w:sz w:val="20"/>
          <w:szCs w:val="20"/>
          <w:rtl/>
        </w:rPr>
        <w:t>أتفهم أنني مسؤول عن الرسوم المستحقة خلال أي تاريخ من تواريخ تقديم الخدمة، وذلك بما لا يتجاوز المبلغ المحدد في جدول الرسوم المتغيرة اليومية، أو الحد الأقصى للمبلغ الشهري، أيهما أقل</w:t>
      </w:r>
    </w:p>
    <w:p w14:paraId="4C7B1DD0" w14:textId="77777777" w:rsidR="009236E4" w:rsidRDefault="009236E4" w:rsidP="009236E4">
      <w:pPr>
        <w:spacing w:after="0"/>
        <w:jc w:val="right"/>
        <w:rPr>
          <w:sz w:val="20"/>
          <w:szCs w:val="20"/>
        </w:rPr>
      </w:pPr>
    </w:p>
    <w:p w14:paraId="205A3C14" w14:textId="2A3392E6" w:rsidR="008628AF" w:rsidRDefault="009236E4" w:rsidP="009236E4">
      <w:pPr>
        <w:spacing w:after="0"/>
        <w:jc w:val="right"/>
      </w:pPr>
      <w:r w:rsidRPr="009236E4">
        <w:rPr>
          <w:rFonts w:cs="Arial"/>
          <w:sz w:val="20"/>
          <w:szCs w:val="20"/>
          <w:rtl/>
        </w:rPr>
        <w:t>رسوم الزيارة اليومية لديّ وفقًا لنظام الرسوم المتدرجة هي ___________ دولارًا أمريكيًا. الحد الأقصى للمبلغ الشهري هو _____________ دولارًا أمريكيًا</w:t>
      </w:r>
    </w:p>
    <w:p w14:paraId="16EFA993" w14:textId="77777777" w:rsidR="009236E4" w:rsidRDefault="009236E4" w:rsidP="008F3FDC">
      <w:pPr>
        <w:spacing w:after="0"/>
      </w:pPr>
    </w:p>
    <w:p w14:paraId="29331713" w14:textId="77777777" w:rsidR="009236E4" w:rsidRDefault="009236E4" w:rsidP="008F3FDC">
      <w:pPr>
        <w:spacing w:after="0"/>
        <w:rPr>
          <w:rtl/>
        </w:rPr>
      </w:pPr>
    </w:p>
    <w:p w14:paraId="53693ECA" w14:textId="77777777" w:rsidR="009236E4" w:rsidRDefault="009236E4" w:rsidP="008F3FDC">
      <w:pPr>
        <w:spacing w:after="0"/>
      </w:pPr>
    </w:p>
    <w:p w14:paraId="1219DAE6" w14:textId="476B46CF" w:rsidR="008628AF" w:rsidRDefault="009236E4" w:rsidP="009236E4">
      <w:pPr>
        <w:spacing w:after="0"/>
        <w:jc w:val="right"/>
        <w:rPr>
          <w:rtl/>
        </w:rPr>
      </w:pPr>
      <w:r w:rsidRPr="009236E4">
        <w:rPr>
          <w:rFonts w:cs="Arial"/>
          <w:rtl/>
        </w:rPr>
        <w:lastRenderedPageBreak/>
        <w:t>أشهد أن المعلومات المقدمة لتحديد رسومي صحيحة ودقيقة على حد علمي</w:t>
      </w:r>
      <w:r>
        <w:rPr>
          <w:rFonts w:hint="cs"/>
          <w:rtl/>
        </w:rPr>
        <w:t>.</w:t>
      </w:r>
    </w:p>
    <w:p w14:paraId="107BDD50" w14:textId="77777777" w:rsidR="009236E4" w:rsidRDefault="009236E4" w:rsidP="009236E4">
      <w:pPr>
        <w:spacing w:after="0"/>
        <w:jc w:val="right"/>
        <w:rPr>
          <w:rtl/>
        </w:rPr>
      </w:pPr>
    </w:p>
    <w:p w14:paraId="0780DA25" w14:textId="77777777" w:rsidR="009236E4" w:rsidRDefault="009236E4" w:rsidP="009236E4">
      <w:pPr>
        <w:spacing w:after="0"/>
        <w:jc w:val="right"/>
        <w:rPr>
          <w:rtl/>
        </w:rPr>
      </w:pPr>
    </w:p>
    <w:p w14:paraId="7EA1178D" w14:textId="5ED39B92" w:rsidR="009236E4" w:rsidRDefault="009236E4" w:rsidP="009236E4">
      <w:pPr>
        <w:spacing w:after="0"/>
        <w:jc w:val="right"/>
      </w:pPr>
      <w:r>
        <w:t>________________________</w:t>
      </w:r>
      <w:r>
        <w:rPr>
          <w:rFonts w:hint="cs"/>
          <w:rtl/>
        </w:rPr>
        <w:t xml:space="preserve">                         </w:t>
      </w:r>
      <w:r>
        <w:t xml:space="preserve">________________________________________  </w:t>
      </w:r>
    </w:p>
    <w:p w14:paraId="6F8B79A9" w14:textId="50196590" w:rsidR="008628AF" w:rsidRDefault="009236E4" w:rsidP="009236E4">
      <w:pPr>
        <w:spacing w:after="0"/>
        <w:jc w:val="right"/>
      </w:pPr>
      <w:r w:rsidRPr="009236E4">
        <w:rPr>
          <w:rFonts w:cs="Arial"/>
          <w:rtl/>
        </w:rPr>
        <w:t>العميل/الوالد/الوصي</w:t>
      </w:r>
      <w:r>
        <w:rPr>
          <w:rFonts w:cs="Arial" w:hint="cs"/>
          <w:rtl/>
        </w:rPr>
        <w:t xml:space="preserve">                                                                            </w:t>
      </w:r>
      <w:r w:rsidRPr="009236E4">
        <w:rPr>
          <w:rFonts w:cs="Arial"/>
          <w:rtl/>
        </w:rPr>
        <w:t>تاريخ</w:t>
      </w:r>
      <w:r w:rsidR="008628AF">
        <w:tab/>
        <w:t xml:space="preserve">         </w:t>
      </w:r>
    </w:p>
    <w:p w14:paraId="54C73351" w14:textId="77777777" w:rsidR="008628AF" w:rsidRDefault="008628AF" w:rsidP="008F3FDC">
      <w:pPr>
        <w:spacing w:after="0"/>
        <w:rPr>
          <w:rtl/>
        </w:rPr>
      </w:pPr>
    </w:p>
    <w:p w14:paraId="52671596" w14:textId="4A9F5D85" w:rsidR="009236E4" w:rsidRDefault="009236E4" w:rsidP="009236E4">
      <w:pPr>
        <w:spacing w:after="0"/>
        <w:jc w:val="right"/>
      </w:pPr>
      <w:r>
        <w:t>________________________</w:t>
      </w:r>
      <w:r>
        <w:rPr>
          <w:rFonts w:hint="cs"/>
          <w:rtl/>
        </w:rPr>
        <w:t xml:space="preserve">                         </w:t>
      </w:r>
      <w:r>
        <w:t xml:space="preserve">________________________________________  </w:t>
      </w:r>
    </w:p>
    <w:p w14:paraId="013E69A2" w14:textId="3974A309" w:rsidR="009236E4" w:rsidRDefault="009236E4" w:rsidP="009236E4">
      <w:pPr>
        <w:spacing w:after="0"/>
        <w:jc w:val="right"/>
      </w:pPr>
      <w:r w:rsidRPr="009236E4">
        <w:rPr>
          <w:rFonts w:cs="Arial"/>
          <w:rtl/>
        </w:rPr>
        <w:t>شاهد</w:t>
      </w:r>
      <w:r>
        <w:rPr>
          <w:rFonts w:cs="Arial" w:hint="cs"/>
          <w:rtl/>
        </w:rPr>
        <w:t xml:space="preserve">                                                                                              </w:t>
      </w:r>
      <w:r w:rsidRPr="009236E4">
        <w:rPr>
          <w:rFonts w:cs="Arial"/>
          <w:rtl/>
        </w:rPr>
        <w:t>تاريخ</w:t>
      </w:r>
    </w:p>
    <w:p w14:paraId="79088C0E" w14:textId="515080D9" w:rsidR="008628AF" w:rsidRDefault="008628AF" w:rsidP="008F3FDC">
      <w:pPr>
        <w:spacing w:after="0"/>
      </w:pPr>
      <w:r>
        <w:t xml:space="preserve">                     </w:t>
      </w:r>
      <w:r w:rsidR="009236E4">
        <w:rPr>
          <w:rFonts w:hint="cs"/>
          <w:rtl/>
        </w:rPr>
        <w:t xml:space="preserve"> </w:t>
      </w:r>
    </w:p>
    <w:p w14:paraId="76819F0A" w14:textId="77040B39" w:rsidR="008628AF" w:rsidRDefault="008628AF" w:rsidP="009236E4">
      <w:pPr>
        <w:spacing w:after="0"/>
      </w:pPr>
      <w:r>
        <w:tab/>
      </w:r>
      <w:r>
        <w:tab/>
      </w:r>
      <w:r>
        <w:tab/>
      </w:r>
      <w:r>
        <w:tab/>
      </w:r>
      <w:r>
        <w:tab/>
      </w:r>
      <w:r>
        <w:tab/>
        <w:t xml:space="preserve">       </w:t>
      </w:r>
    </w:p>
    <w:p w14:paraId="65BF45C1" w14:textId="77777777" w:rsidR="008628AF" w:rsidRDefault="008628AF" w:rsidP="008F3FDC">
      <w:pPr>
        <w:spacing w:after="0"/>
      </w:pPr>
    </w:p>
    <w:p w14:paraId="75E3F884" w14:textId="77777777" w:rsidR="008628AF" w:rsidRDefault="008628AF" w:rsidP="008F3FDC">
      <w:pPr>
        <w:spacing w:after="0"/>
      </w:pPr>
    </w:p>
    <w:p w14:paraId="45C1E660" w14:textId="77777777" w:rsidR="008628AF" w:rsidRDefault="008628AF" w:rsidP="008F3FDC">
      <w:pPr>
        <w:spacing w:after="0"/>
      </w:pPr>
    </w:p>
    <w:sectPr w:rsidR="008628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DFF0" w14:textId="77777777" w:rsidR="00E449E2" w:rsidRDefault="00E449E2" w:rsidP="00A65F22">
      <w:pPr>
        <w:spacing w:after="0" w:line="240" w:lineRule="auto"/>
      </w:pPr>
      <w:r>
        <w:separator/>
      </w:r>
    </w:p>
  </w:endnote>
  <w:endnote w:type="continuationSeparator" w:id="0">
    <w:p w14:paraId="23230B9A" w14:textId="77777777" w:rsidR="00E449E2" w:rsidRDefault="00E449E2" w:rsidP="00A6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A7B4" w14:textId="77777777" w:rsidR="00A65F22" w:rsidRPr="00A65F22" w:rsidRDefault="00A65F22">
    <w:pPr>
      <w:pStyle w:val="Footer"/>
      <w:rPr>
        <w:sz w:val="16"/>
        <w:szCs w:val="16"/>
      </w:rPr>
    </w:pPr>
    <w:r>
      <w:rPr>
        <w:sz w:val="16"/>
        <w:szCs w:val="16"/>
      </w:rPr>
      <w:t xml:space="preserve">FPL Source Document </w:t>
    </w:r>
    <w:r w:rsidRPr="00A65F22">
      <w:rPr>
        <w:sz w:val="16"/>
        <w:szCs w:val="16"/>
      </w:rPr>
      <w:t>https://aspe.hhs.gov/topics/poverty-economic-mobility/poverty-guidelines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28FD" w14:textId="77777777" w:rsidR="00E449E2" w:rsidRDefault="00E449E2" w:rsidP="00A65F22">
      <w:pPr>
        <w:spacing w:after="0" w:line="240" w:lineRule="auto"/>
      </w:pPr>
      <w:r>
        <w:separator/>
      </w:r>
    </w:p>
  </w:footnote>
  <w:footnote w:type="continuationSeparator" w:id="0">
    <w:p w14:paraId="1D7DBA6F" w14:textId="77777777" w:rsidR="00E449E2" w:rsidRDefault="00E449E2" w:rsidP="00A65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DC"/>
    <w:rsid w:val="00105B01"/>
    <w:rsid w:val="00107C9B"/>
    <w:rsid w:val="001149F0"/>
    <w:rsid w:val="00114A74"/>
    <w:rsid w:val="0012710B"/>
    <w:rsid w:val="00161ABD"/>
    <w:rsid w:val="0016445A"/>
    <w:rsid w:val="0036305A"/>
    <w:rsid w:val="00370FA1"/>
    <w:rsid w:val="003832F4"/>
    <w:rsid w:val="00384618"/>
    <w:rsid w:val="003A55FF"/>
    <w:rsid w:val="003B185E"/>
    <w:rsid w:val="004E2DB8"/>
    <w:rsid w:val="004F591B"/>
    <w:rsid w:val="0051013B"/>
    <w:rsid w:val="005576AA"/>
    <w:rsid w:val="0056065D"/>
    <w:rsid w:val="005C29E8"/>
    <w:rsid w:val="00646193"/>
    <w:rsid w:val="00653056"/>
    <w:rsid w:val="00660367"/>
    <w:rsid w:val="00693C6D"/>
    <w:rsid w:val="006C6352"/>
    <w:rsid w:val="00733A56"/>
    <w:rsid w:val="00746EC4"/>
    <w:rsid w:val="00761EEB"/>
    <w:rsid w:val="007905DA"/>
    <w:rsid w:val="007F1B14"/>
    <w:rsid w:val="008628AF"/>
    <w:rsid w:val="00875360"/>
    <w:rsid w:val="008C6C9B"/>
    <w:rsid w:val="008F3FDC"/>
    <w:rsid w:val="00900A19"/>
    <w:rsid w:val="00901AA7"/>
    <w:rsid w:val="009236E4"/>
    <w:rsid w:val="00A14CD0"/>
    <w:rsid w:val="00A65F22"/>
    <w:rsid w:val="00AC7892"/>
    <w:rsid w:val="00C04D7F"/>
    <w:rsid w:val="00CC7330"/>
    <w:rsid w:val="00D264D5"/>
    <w:rsid w:val="00D677F7"/>
    <w:rsid w:val="00D722F2"/>
    <w:rsid w:val="00E17660"/>
    <w:rsid w:val="00E313B2"/>
    <w:rsid w:val="00E449E2"/>
    <w:rsid w:val="00EB37ED"/>
    <w:rsid w:val="00EB67C3"/>
    <w:rsid w:val="00F7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130D5"/>
  <w15:chartTrackingRefBased/>
  <w15:docId w15:val="{486A2C3A-E0C9-4934-972B-2CC6459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22"/>
  </w:style>
  <w:style w:type="paragraph" w:styleId="Footer">
    <w:name w:val="footer"/>
    <w:basedOn w:val="Normal"/>
    <w:link w:val="FooterChar"/>
    <w:uiPriority w:val="99"/>
    <w:unhideWhenUsed/>
    <w:rsid w:val="00A65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23501">
      <w:bodyDiv w:val="1"/>
      <w:marLeft w:val="0"/>
      <w:marRight w:val="0"/>
      <w:marTop w:val="0"/>
      <w:marBottom w:val="0"/>
      <w:divBdr>
        <w:top w:val="none" w:sz="0" w:space="0" w:color="auto"/>
        <w:left w:val="none" w:sz="0" w:space="0" w:color="auto"/>
        <w:bottom w:val="none" w:sz="0" w:space="0" w:color="auto"/>
        <w:right w:val="none" w:sz="0" w:space="0" w:color="auto"/>
      </w:divBdr>
    </w:div>
    <w:div w:id="354813947">
      <w:bodyDiv w:val="1"/>
      <w:marLeft w:val="0"/>
      <w:marRight w:val="0"/>
      <w:marTop w:val="0"/>
      <w:marBottom w:val="0"/>
      <w:divBdr>
        <w:top w:val="none" w:sz="0" w:space="0" w:color="auto"/>
        <w:left w:val="none" w:sz="0" w:space="0" w:color="auto"/>
        <w:bottom w:val="none" w:sz="0" w:space="0" w:color="auto"/>
        <w:right w:val="none" w:sz="0" w:space="0" w:color="auto"/>
      </w:divBdr>
    </w:div>
    <w:div w:id="473572651">
      <w:bodyDiv w:val="1"/>
      <w:marLeft w:val="0"/>
      <w:marRight w:val="0"/>
      <w:marTop w:val="0"/>
      <w:marBottom w:val="0"/>
      <w:divBdr>
        <w:top w:val="none" w:sz="0" w:space="0" w:color="auto"/>
        <w:left w:val="none" w:sz="0" w:space="0" w:color="auto"/>
        <w:bottom w:val="none" w:sz="0" w:space="0" w:color="auto"/>
        <w:right w:val="none" w:sz="0" w:space="0" w:color="auto"/>
      </w:divBdr>
    </w:div>
    <w:div w:id="614093716">
      <w:bodyDiv w:val="1"/>
      <w:marLeft w:val="0"/>
      <w:marRight w:val="0"/>
      <w:marTop w:val="0"/>
      <w:marBottom w:val="0"/>
      <w:divBdr>
        <w:top w:val="none" w:sz="0" w:space="0" w:color="auto"/>
        <w:left w:val="none" w:sz="0" w:space="0" w:color="auto"/>
        <w:bottom w:val="none" w:sz="0" w:space="0" w:color="auto"/>
        <w:right w:val="none" w:sz="0" w:space="0" w:color="auto"/>
      </w:divBdr>
    </w:div>
    <w:div w:id="630674915">
      <w:bodyDiv w:val="1"/>
      <w:marLeft w:val="0"/>
      <w:marRight w:val="0"/>
      <w:marTop w:val="0"/>
      <w:marBottom w:val="0"/>
      <w:divBdr>
        <w:top w:val="none" w:sz="0" w:space="0" w:color="auto"/>
        <w:left w:val="none" w:sz="0" w:space="0" w:color="auto"/>
        <w:bottom w:val="none" w:sz="0" w:space="0" w:color="auto"/>
        <w:right w:val="none" w:sz="0" w:space="0" w:color="auto"/>
      </w:divBdr>
    </w:div>
    <w:div w:id="710693053">
      <w:bodyDiv w:val="1"/>
      <w:marLeft w:val="0"/>
      <w:marRight w:val="0"/>
      <w:marTop w:val="0"/>
      <w:marBottom w:val="0"/>
      <w:divBdr>
        <w:top w:val="none" w:sz="0" w:space="0" w:color="auto"/>
        <w:left w:val="none" w:sz="0" w:space="0" w:color="auto"/>
        <w:bottom w:val="none" w:sz="0" w:space="0" w:color="auto"/>
        <w:right w:val="none" w:sz="0" w:space="0" w:color="auto"/>
      </w:divBdr>
    </w:div>
    <w:div w:id="736709616">
      <w:bodyDiv w:val="1"/>
      <w:marLeft w:val="0"/>
      <w:marRight w:val="0"/>
      <w:marTop w:val="0"/>
      <w:marBottom w:val="0"/>
      <w:divBdr>
        <w:top w:val="none" w:sz="0" w:space="0" w:color="auto"/>
        <w:left w:val="none" w:sz="0" w:space="0" w:color="auto"/>
        <w:bottom w:val="none" w:sz="0" w:space="0" w:color="auto"/>
        <w:right w:val="none" w:sz="0" w:space="0" w:color="auto"/>
      </w:divBdr>
    </w:div>
    <w:div w:id="912927869">
      <w:bodyDiv w:val="1"/>
      <w:marLeft w:val="0"/>
      <w:marRight w:val="0"/>
      <w:marTop w:val="0"/>
      <w:marBottom w:val="0"/>
      <w:divBdr>
        <w:top w:val="none" w:sz="0" w:space="0" w:color="auto"/>
        <w:left w:val="none" w:sz="0" w:space="0" w:color="auto"/>
        <w:bottom w:val="none" w:sz="0" w:space="0" w:color="auto"/>
        <w:right w:val="none" w:sz="0" w:space="0" w:color="auto"/>
      </w:divBdr>
    </w:div>
    <w:div w:id="1059017339">
      <w:bodyDiv w:val="1"/>
      <w:marLeft w:val="0"/>
      <w:marRight w:val="0"/>
      <w:marTop w:val="0"/>
      <w:marBottom w:val="0"/>
      <w:divBdr>
        <w:top w:val="none" w:sz="0" w:space="0" w:color="auto"/>
        <w:left w:val="none" w:sz="0" w:space="0" w:color="auto"/>
        <w:bottom w:val="none" w:sz="0" w:space="0" w:color="auto"/>
        <w:right w:val="none" w:sz="0" w:space="0" w:color="auto"/>
      </w:divBdr>
    </w:div>
    <w:div w:id="1078479731">
      <w:bodyDiv w:val="1"/>
      <w:marLeft w:val="0"/>
      <w:marRight w:val="0"/>
      <w:marTop w:val="0"/>
      <w:marBottom w:val="0"/>
      <w:divBdr>
        <w:top w:val="none" w:sz="0" w:space="0" w:color="auto"/>
        <w:left w:val="none" w:sz="0" w:space="0" w:color="auto"/>
        <w:bottom w:val="none" w:sz="0" w:space="0" w:color="auto"/>
        <w:right w:val="none" w:sz="0" w:space="0" w:color="auto"/>
      </w:divBdr>
    </w:div>
    <w:div w:id="1398481719">
      <w:bodyDiv w:val="1"/>
      <w:marLeft w:val="0"/>
      <w:marRight w:val="0"/>
      <w:marTop w:val="0"/>
      <w:marBottom w:val="0"/>
      <w:divBdr>
        <w:top w:val="none" w:sz="0" w:space="0" w:color="auto"/>
        <w:left w:val="none" w:sz="0" w:space="0" w:color="auto"/>
        <w:bottom w:val="none" w:sz="0" w:space="0" w:color="auto"/>
        <w:right w:val="none" w:sz="0" w:space="0" w:color="auto"/>
      </w:divBdr>
    </w:div>
    <w:div w:id="1564415095">
      <w:bodyDiv w:val="1"/>
      <w:marLeft w:val="0"/>
      <w:marRight w:val="0"/>
      <w:marTop w:val="0"/>
      <w:marBottom w:val="0"/>
      <w:divBdr>
        <w:top w:val="none" w:sz="0" w:space="0" w:color="auto"/>
        <w:left w:val="none" w:sz="0" w:space="0" w:color="auto"/>
        <w:bottom w:val="none" w:sz="0" w:space="0" w:color="auto"/>
        <w:right w:val="none" w:sz="0" w:space="0" w:color="auto"/>
      </w:divBdr>
    </w:div>
    <w:div w:id="1674990324">
      <w:bodyDiv w:val="1"/>
      <w:marLeft w:val="0"/>
      <w:marRight w:val="0"/>
      <w:marTop w:val="0"/>
      <w:marBottom w:val="0"/>
      <w:divBdr>
        <w:top w:val="none" w:sz="0" w:space="0" w:color="auto"/>
        <w:left w:val="none" w:sz="0" w:space="0" w:color="auto"/>
        <w:bottom w:val="none" w:sz="0" w:space="0" w:color="auto"/>
        <w:right w:val="none" w:sz="0" w:space="0" w:color="auto"/>
      </w:divBdr>
    </w:div>
    <w:div w:id="20207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16DE-E003-4FE2-B719-00A88773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Guidance Center</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Huot</dc:creator>
  <cp:keywords/>
  <dc:description/>
  <cp:lastModifiedBy>Jessica Collins</cp:lastModifiedBy>
  <cp:revision>2</cp:revision>
  <cp:lastPrinted>2026-01-15T20:05:00Z</cp:lastPrinted>
  <dcterms:created xsi:type="dcterms:W3CDTF">2026-01-22T18:55:00Z</dcterms:created>
  <dcterms:modified xsi:type="dcterms:W3CDTF">2026-01-22T18:55:00Z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6078c4df-68a2-464c-82d9-65faf42bcd94</vt:lpwstr>
  </property>
</Properties>
</file>